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59.png" ContentType="image/png"/>
  <Override PartName="/word/media/rId63.png" ContentType="image/png"/>
  <Override PartName="/word/media/rId67.png" ContentType="image/png"/>
  <Override PartName="/word/media/rId73.png" ContentType="image/png"/>
  <Override PartName="/word/media/rId77.png" ContentType="image/png"/>
  <Override PartName="/word/media/rId109.png" ContentType="image/png"/>
  <Override PartName="/word/media/rId113.png" ContentType="image/png"/>
  <Override PartName="/word/media/rId82.png" ContentType="image/png"/>
  <Override PartName="/word/media/rId86.png" ContentType="image/png"/>
  <Override PartName="/word/media/rId90.png" ContentType="image/png"/>
  <Override PartName="/word/media/rId25.png" ContentType="image/png"/>
  <Override PartName="/word/media/rId94.png" ContentType="image/png"/>
  <Override PartName="/word/media/rId99.png" ContentType="image/png"/>
  <Override PartName="/word/media/rId103.png" ContentType="image/png"/>
  <Override PartName="/word/media/rId118.png" ContentType="image/png"/>
  <Override PartName="/word/media/rId122.png" ContentType="image/png"/>
  <Override PartName="/word/media/rId126.png" ContentType="image/png"/>
  <Override PartName="/word/media/rId131.png" ContentType="image/png"/>
  <Override PartName="/word/media/rId135.png" ContentType="image/png"/>
  <Override PartName="/word/media/rId29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 работа 1-B (20_09)</w:t>
      </w:r>
    </w:p>
    <w:p>
      <w:pPr>
        <w:pStyle w:val="Subtitle"/>
      </w:pPr>
      <w:r>
        <w:t xml:space="preserve">Кибербезопасность предприятия</w:t>
      </w:r>
    </w:p>
    <w:p>
      <w:pPr>
        <w:pStyle w:val="Author"/>
      </w:pPr>
      <w:r>
        <w:t xml:space="preserve">Ищенко Ирина</w:t>
      </w:r>
    </w:p>
    <w:p>
      <w:pPr>
        <w:pStyle w:val="Author"/>
      </w:pPr>
      <w:r>
        <w:t xml:space="preserve">Мишина Анастасия</w:t>
      </w:r>
    </w:p>
    <w:p>
      <w:pPr>
        <w:pStyle w:val="Author"/>
      </w:pPr>
      <w:r>
        <w:t xml:space="preserve">Дикач Анна</w:t>
      </w:r>
    </w:p>
    <w:p>
      <w:pPr>
        <w:pStyle w:val="Author"/>
      </w:pPr>
      <w:r>
        <w:t xml:space="preserve">Галацан Николай</w:t>
      </w:r>
    </w:p>
    <w:p>
      <w:pPr>
        <w:pStyle w:val="Author"/>
      </w:pPr>
      <w:r>
        <w:t xml:space="preserve">Амуничников Антон</w:t>
      </w:r>
    </w:p>
    <w:p>
      <w:pPr>
        <w:pStyle w:val="Author"/>
      </w:pPr>
      <w:r>
        <w:t xml:space="preserve">Барсегян Вардан</w:t>
      </w:r>
    </w:p>
    <w:p>
      <w:pPr>
        <w:pStyle w:val="Author"/>
      </w:pPr>
      <w:r>
        <w:t xml:space="preserve">Дудырев Глеб</w:t>
      </w:r>
    </w:p>
    <w:p>
      <w:pPr>
        <w:pStyle w:val="Author"/>
      </w:pPr>
      <w:r>
        <w:t xml:space="preserve">Дымченко Дмитрий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sdt>
      <w:sdtPr>
        <w:docPartObj>
          <w:docPartGallery w:val="List of Figures"/>
          <w:docPartUnique/>
        </w:docPartObj>
      </w:sdtPr>
      <w:sdtContent>
        <w:p>
          <w:pPr>
            <w:pStyle w:val="TOCHeading"/>
          </w:pPr>
          <w:r>
            <w:t xml:space="preserve">Список иллюстраций</w:t>
          </w:r>
        </w:p>
        <w:p>
          <w:r>
            <w:fldChar w:fldCharType="begin" w:dirty="true"/>
            <w:instrText xml:space="preserve">TOC \h \z \t "Image Caption" \c</w:instrText>
            <w:fldChar w:fldCharType="separate"/>
            <w:fldChar w:fldCharType="end"/>
          </w:r>
        </w:p>
      </w:sdtContent>
    </w:sdt>
    <w:sdt>
      <w:sdtPr>
        <w:docPartObj>
          <w:docPartGallery w:val="List of Tables"/>
          <w:docPartUnique/>
        </w:docPartObj>
      </w:sdtPr>
      <w:sdtContent>
        <w:p>
          <w:pPr>
            <w:pStyle w:val="TOCHeading"/>
          </w:pPr>
          <w:r>
            <w:t xml:space="preserve">Список таблиц</w:t>
          </w:r>
        </w:p>
        <w:p>
          <w:r>
            <w:fldChar w:fldCharType="begin" w:dirty="true"/>
            <w:instrText xml:space="preserve">TOC \h \z \t "Table Caption" \c</w:instrText>
            <w:fldChar w:fldCharType="separate"/>
            <w:fldChar w:fldCharType="end"/>
          </w:r>
        </w:p>
      </w:sdtContent>
    </w:sdt>
    <w:bookmarkStart w:id="20" w:name="цель-тренировки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тренировки</w:t>
      </w:r>
    </w:p>
    <w:p>
      <w:pPr>
        <w:pStyle w:val="FirstParagraph"/>
      </w:pPr>
      <w:r>
        <w:t xml:space="preserve">Разобраться с сценарием действий нарушителя</w:t>
      </w:r>
      <w:r>
        <w:t xml:space="preserve"> </w:t>
      </w:r>
      <w:r>
        <w:t xml:space="preserve">“Защита данных сегмента АСУ ТП”</w:t>
      </w:r>
      <w:r>
        <w:t xml:space="preserve">. Выявить и устранить уязвимости и их последствия.</w:t>
      </w:r>
    </w:p>
    <w:bookmarkEnd w:id="20"/>
    <w:bookmarkStart w:id="141" w:name="выявленные-уязвимости-и-последств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Выявленные уязвимости и последствия</w:t>
      </w:r>
    </w:p>
    <w:p>
      <w:pPr>
        <w:pStyle w:val="FirstParagraph"/>
      </w:pPr>
      <w:r>
        <w:t xml:space="preserve">По ходу выполнения тренировки были выявлены следующие уязвимости (рис. 1):</w:t>
      </w:r>
    </w:p>
    <w:bookmarkStart w:id="24" w:name="fig:001"/>
    <w:p>
      <w:pPr>
        <w:pStyle w:val="CaptionedFigure"/>
      </w:pPr>
      <w:r>
        <w:drawing>
          <wp:inline>
            <wp:extent cx="3733800" cy="2175520"/>
            <wp:effectExtent b="0" l="0" r="0" t="0"/>
            <wp:docPr descr="Рис. 1: Уязвимости и последствия" title="" id="22" name="Picture"/>
            <a:graphic>
              <a:graphicData uri="http://schemas.openxmlformats.org/drawingml/2006/picture">
                <pic:pic>
                  <pic:nvPicPr>
                    <pic:cNvPr descr="image/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5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1: Уязвимости и последствия</w:t>
      </w:r>
    </w:p>
    <w:bookmarkEnd w:id="24"/>
    <w:p>
      <w:pPr>
        <w:pStyle w:val="BodyText"/>
      </w:pPr>
      <w:r>
        <w:rPr>
          <w:b/>
          <w:bCs/>
        </w:rPr>
        <w:t xml:space="preserve">Уязвимость 1.</w:t>
      </w:r>
      <w:r>
        <w:t xml:space="preserve"> </w:t>
      </w:r>
      <w:r>
        <w:t xml:space="preserve">Уязвимая версия axis2 (CVE-2010-0219)</w:t>
      </w:r>
    </w:p>
    <w:p>
      <w:pPr>
        <w:pStyle w:val="BodyText"/>
      </w:pPr>
      <w:r>
        <w:rPr>
          <w:b/>
          <w:bCs/>
        </w:rPr>
        <w:t xml:space="preserve">Последствие.</w:t>
      </w:r>
      <w:r>
        <w:t xml:space="preserve"> </w:t>
      </w:r>
      <w:r>
        <w:t xml:space="preserve">App Backdoor</w:t>
      </w:r>
    </w:p>
    <w:p>
      <w:pPr>
        <w:pStyle w:val="BodyText"/>
      </w:pPr>
      <w:r>
        <w:rPr>
          <w:b/>
          <w:bCs/>
        </w:rPr>
        <w:t xml:space="preserve">Уязвимость 2.</w:t>
      </w:r>
      <w:r>
        <w:t xml:space="preserve"> </w:t>
      </w:r>
      <w:r>
        <w:t xml:space="preserve">Уязвимая версия программы CoolReaderPDF (CVE-2012-4914)</w:t>
      </w:r>
    </w:p>
    <w:p>
      <w:pPr>
        <w:pStyle w:val="BodyText"/>
      </w:pPr>
      <w:r>
        <w:rPr>
          <w:b/>
          <w:bCs/>
        </w:rPr>
        <w:t xml:space="preserve">Последствие.</w:t>
      </w:r>
      <w:r>
        <w:t xml:space="preserve"> </w:t>
      </w:r>
      <w:r>
        <w:t xml:space="preserve">Manager meterpreter-сессия</w:t>
      </w:r>
    </w:p>
    <w:p>
      <w:pPr>
        <w:pStyle w:val="BodyText"/>
      </w:pPr>
      <w:r>
        <w:rPr>
          <w:b/>
          <w:bCs/>
        </w:rPr>
        <w:t xml:space="preserve">Уязвимость 2.</w:t>
      </w:r>
      <w:r>
        <w:t xml:space="preserve"> </w:t>
      </w:r>
      <w:r>
        <w:t xml:space="preserve">Уязвимая версия IGSS (CVE-2011-1567)</w:t>
      </w:r>
    </w:p>
    <w:p>
      <w:pPr>
        <w:pStyle w:val="BodyText"/>
      </w:pPr>
      <w:r>
        <w:rPr>
          <w:b/>
          <w:bCs/>
        </w:rPr>
        <w:t xml:space="preserve">Последствие.</w:t>
      </w:r>
      <w:r>
        <w:t xml:space="preserve"> </w:t>
      </w:r>
      <w:r>
        <w:t xml:space="preserve">IGSS meterpreter-сессия</w:t>
      </w:r>
    </w:p>
    <w:bookmarkStart w:id="72" w:name="уязвимая-версия-axis2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Уязвимая версия axis2</w:t>
      </w:r>
    </w:p>
    <w:p>
      <w:pPr>
        <w:pStyle w:val="FirstParagraph"/>
      </w:pPr>
      <w:r>
        <w:t xml:space="preserve">Уязвимая версия axis2 установлена на AppServer под управлением</w:t>
      </w:r>
      <w:r>
        <w:t xml:space="preserve"> </w:t>
      </w:r>
      <w:r>
        <w:t xml:space="preserve">Apache Tomcat. В типовом шаблоне информационной системы используется</w:t>
      </w:r>
      <w:r>
        <w:t xml:space="preserve"> </w:t>
      </w:r>
      <w:r>
        <w:t xml:space="preserve">для развертывания веб-сервисов, работает через порт 8080.</w:t>
      </w:r>
    </w:p>
    <w:p>
      <w:pPr>
        <w:pStyle w:val="BodyText"/>
      </w:pPr>
      <w:r>
        <w:rPr>
          <w:b/>
          <w:bCs/>
        </w:rPr>
        <w:t xml:space="preserve">Эксплуатируемая уязвимость</w:t>
      </w:r>
      <w:r>
        <w:t xml:space="preserve"> </w:t>
      </w:r>
      <w:r>
        <w:t xml:space="preserve">– CVE-2010-0219. Компонент Axis2 SAP</w:t>
      </w:r>
      <w:r>
        <w:t xml:space="preserve"> </w:t>
      </w:r>
      <w:r>
        <w:t xml:space="preserve">BusinessObjects содержит учетную запись и пароль администратора по</w:t>
      </w:r>
      <w:r>
        <w:t xml:space="preserve"> </w:t>
      </w:r>
      <w:r>
        <w:t xml:space="preserve">умолчанию.</w:t>
      </w:r>
    </w:p>
    <w:p>
      <w:pPr>
        <w:pStyle w:val="BodyText"/>
      </w:pPr>
      <w:r>
        <w:t xml:space="preserve">Из конфигурационного файла axis2.xml можно получить данные</w:t>
      </w:r>
      <w:r>
        <w:t xml:space="preserve"> </w:t>
      </w:r>
      <w:r>
        <w:t xml:space="preserve">учетной записи администратора, авторизоваться и загрузить вредоносный</w:t>
      </w:r>
      <w:r>
        <w:t xml:space="preserve"> </w:t>
      </w:r>
      <w:r>
        <w:t xml:space="preserve">сервис для исполнения команды</w:t>
      </w:r>
    </w:p>
    <w:bookmarkStart w:id="33" w:name="описание-инцидента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Описание инцидента</w:t>
      </w:r>
    </w:p>
    <w:p>
      <w:pPr>
        <w:pStyle w:val="FirstParagraph"/>
      </w:pPr>
      <w:r>
        <w:t xml:space="preserve">С помощью AMTIP нашли правило обнаружения вторжений. Для (CVE-2010-0219) нашли необходимое правило (рис. 2).</w:t>
      </w:r>
    </w:p>
    <w:bookmarkStart w:id="28" w:name="fig:002"/>
    <w:p>
      <w:pPr>
        <w:pStyle w:val="CaptionedFigure"/>
      </w:pPr>
      <w:r>
        <w:drawing>
          <wp:inline>
            <wp:extent cx="3733800" cy="1971534"/>
            <wp:effectExtent b="0" l="0" r="0" t="0"/>
            <wp:docPr descr="Рис. 2: Событие на VipNet IDS NS" title="" id="26" name="Picture"/>
            <a:graphic>
              <a:graphicData uri="http://schemas.openxmlformats.org/drawingml/2006/picture">
                <pic:pic>
                  <pic:nvPicPr>
                    <pic:cNvPr descr="image/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15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2: Событие на VipNet IDS NS</w:t>
      </w:r>
    </w:p>
    <w:bookmarkEnd w:id="28"/>
    <w:p>
      <w:pPr>
        <w:pStyle w:val="BodyText"/>
      </w:pPr>
      <w:r>
        <w:t xml:space="preserve">Далее перешли к заполнению инцидента (рис. 3).</w:t>
      </w:r>
    </w:p>
    <w:bookmarkStart w:id="32" w:name="fig:003"/>
    <w:p>
      <w:pPr>
        <w:pStyle w:val="CaptionedFigure"/>
      </w:pPr>
      <w:r>
        <w:drawing>
          <wp:inline>
            <wp:extent cx="3733800" cy="2901540"/>
            <wp:effectExtent b="0" l="0" r="0" t="0"/>
            <wp:docPr descr="Рис. 3: Добавление инцидента axis2" title="" id="30" name="Picture"/>
            <a:graphic>
              <a:graphicData uri="http://schemas.openxmlformats.org/drawingml/2006/picture">
                <pic:pic>
                  <pic:nvPicPr>
                    <pic:cNvPr descr="image/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01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3: Добавление инцидента axis2</w:t>
      </w:r>
    </w:p>
    <w:bookmarkEnd w:id="32"/>
    <w:bookmarkEnd w:id="33"/>
    <w:bookmarkStart w:id="54" w:name="решение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Решение</w:t>
      </w:r>
    </w:p>
    <w:p>
      <w:pPr>
        <w:pStyle w:val="FirstParagraph"/>
      </w:pPr>
      <w:r>
        <w:t xml:space="preserve">Открываем KeePass. Находим Apache Tomcat и подключаемся к нему по ssh via Putty (рис. 4).</w:t>
      </w:r>
    </w:p>
    <w:bookmarkStart w:id="37" w:name="fig:004"/>
    <w:p>
      <w:pPr>
        <w:pStyle w:val="CaptionedFigure"/>
      </w:pPr>
      <w:r>
        <w:drawing>
          <wp:inline>
            <wp:extent cx="3733800" cy="2951720"/>
            <wp:effectExtent b="0" l="0" r="0" t="0"/>
            <wp:docPr descr="Рис. 4: Подключение по ssh" title="" id="35" name="Picture"/>
            <a:graphic>
              <a:graphicData uri="http://schemas.openxmlformats.org/drawingml/2006/picture">
                <pic:pic>
                  <pic:nvPicPr>
                    <pic:cNvPr descr="image/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51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4: Подключение по ssh</w:t>
      </w:r>
    </w:p>
    <w:bookmarkEnd w:id="37"/>
    <w:p>
      <w:pPr>
        <w:pStyle w:val="Compact"/>
        <w:numPr>
          <w:ilvl w:val="0"/>
          <w:numId w:val="1001"/>
        </w:numPr>
      </w:pPr>
      <w:r>
        <w:t xml:space="preserve">Настройка правил в Iptables. В утилите iptables добавить правило (iptables -I INPUT 1 -j REJECT -p tcp –dport 8080 -m string –string</w:t>
      </w:r>
      <w:r>
        <w:t xml:space="preserve"> </w:t>
      </w:r>
      <w:r>
        <w:t xml:space="preserve">“axis2.xml”</w:t>
      </w:r>
      <w:r>
        <w:t xml:space="preserve"> </w:t>
      </w:r>
      <w:r>
        <w:t xml:space="preserve">–algo kmp), которое отказывает в доступе к конфигурационному файлу при наличии в заголовке строки axis2.xml (рис. 5).</w:t>
      </w:r>
    </w:p>
    <w:bookmarkStart w:id="41" w:name="fig:005"/>
    <w:p>
      <w:pPr>
        <w:pStyle w:val="CaptionedFigure"/>
      </w:pPr>
      <w:r>
        <w:drawing>
          <wp:inline>
            <wp:extent cx="3733800" cy="2353235"/>
            <wp:effectExtent b="0" l="0" r="0" t="0"/>
            <wp:docPr descr="Рис. 5: Добавление правила в утилите" title="" id="39" name="Picture"/>
            <a:graphic>
              <a:graphicData uri="http://schemas.openxmlformats.org/drawingml/2006/picture">
                <pic:pic>
                  <pic:nvPicPr>
                    <pic:cNvPr descr="image/5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53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5: Добавление правила в утилите</w:t>
      </w:r>
    </w:p>
    <w:bookmarkEnd w:id="41"/>
    <w:p>
      <w:pPr>
        <w:pStyle w:val="Compact"/>
        <w:numPr>
          <w:ilvl w:val="0"/>
          <w:numId w:val="1002"/>
        </w:numPr>
      </w:pPr>
      <w:r>
        <w:t xml:space="preserve">Обновить axis2 до последней версии. Войти на Tomcat сервер (в адресной строке браузера набрать http://10.10.1.24:8080). Нажать на кнопку Manager App (рис. 6).</w:t>
      </w:r>
    </w:p>
    <w:bookmarkStart w:id="45" w:name="fig:006"/>
    <w:p>
      <w:pPr>
        <w:pStyle w:val="CaptionedFigure"/>
      </w:pPr>
      <w:r>
        <w:drawing>
          <wp:inline>
            <wp:extent cx="3733800" cy="1576324"/>
            <wp:effectExtent b="0" l="0" r="0" t="0"/>
            <wp:docPr descr="Рис. 6: Стартовая страница сервера Apache Tomcat" title="" id="43" name="Picture"/>
            <a:graphic>
              <a:graphicData uri="http://schemas.openxmlformats.org/drawingml/2006/picture">
                <pic:pic>
                  <pic:nvPicPr>
                    <pic:cNvPr descr="image/6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76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6: Стартовая страница сервера Apache Tomcat</w:t>
      </w:r>
    </w:p>
    <w:bookmarkEnd w:id="45"/>
    <w:p>
      <w:pPr>
        <w:pStyle w:val="BodyText"/>
      </w:pPr>
      <w:r>
        <w:t xml:space="preserve">Войти под учетной записью администратора (admin / qwe1231@#). В таблице Applications найти строку с записью axis2 и нажать на кнопку Undeploy.Загрузить WAR файл axis2 актуальной версии. В поле WAR file to deploy нажать на Choose file, далее выбрать загруженный файл и нажать на кнопку Deploy</w:t>
      </w:r>
      <w:r>
        <w:t xml:space="preserve"> </w:t>
      </w:r>
      <w:r>
        <w:t xml:space="preserve">(рис. 7)(рис. 8).</w:t>
      </w:r>
    </w:p>
    <w:bookmarkStart w:id="49" w:name="fig:007"/>
    <w:p>
      <w:pPr>
        <w:pStyle w:val="CaptionedFigure"/>
      </w:pPr>
      <w:r>
        <w:drawing>
          <wp:inline>
            <wp:extent cx="3733800" cy="1847752"/>
            <wp:effectExtent b="0" l="0" r="0" t="0"/>
            <wp:docPr descr="Рис. 7: Добавление axis2.war" title="" id="47" name="Picture"/>
            <a:graphic>
              <a:graphicData uri="http://schemas.openxmlformats.org/drawingml/2006/picture">
                <pic:pic>
                  <pic:nvPicPr>
                    <pic:cNvPr descr="image/7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477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7: Добавление axis2.war</w:t>
      </w:r>
    </w:p>
    <w:bookmarkEnd w:id="49"/>
    <w:bookmarkStart w:id="53" w:name="fig:008"/>
    <w:p>
      <w:pPr>
        <w:pStyle w:val="CaptionedFigure"/>
      </w:pPr>
      <w:r>
        <w:drawing>
          <wp:inline>
            <wp:extent cx="3733800" cy="424014"/>
            <wp:effectExtent b="0" l="0" r="0" t="0"/>
            <wp:docPr descr="Рис. 8: Нажатие на кнопку" title="" id="51" name="Picture"/>
            <a:graphic>
              <a:graphicData uri="http://schemas.openxmlformats.org/drawingml/2006/picture">
                <pic:pic>
                  <pic:nvPicPr>
                    <pic:cNvPr descr="image/8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24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8: Нажатие на кнопку</w:t>
      </w:r>
    </w:p>
    <w:bookmarkEnd w:id="53"/>
    <w:p>
      <w:pPr>
        <w:pStyle w:val="BodyText"/>
      </w:pPr>
      <w:r>
        <w:t xml:space="preserve">Деактивировать уязвимую версию axis2. В таблице Applications найти строку с записью axis2 и нажать на кнопку Stop.После остановки приложения axis2 остается в таблице, уязвимость будет успешно устранена.</w:t>
      </w:r>
    </w:p>
    <w:bookmarkEnd w:id="54"/>
    <w:bookmarkStart w:id="71" w:name="последствия-app-backdoor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Последствия App Backdoor</w:t>
      </w:r>
    </w:p>
    <w:p>
      <w:pPr>
        <w:pStyle w:val="FirstParagraph"/>
      </w:pPr>
      <w:r>
        <w:t xml:space="preserve">Нарушитель для закрепления на уязвимой машине загружает файл, исполнение которого устанавливает Reverse Shell соединение с машиной нарушителя. Установленную сессию веб-сервера с IP-адресом нарушителя (195.239.174.11) и имя запущенного процесса можно обнаружить при помощи команды «sudo ss -tp» (рис. 9).</w:t>
      </w:r>
    </w:p>
    <w:bookmarkStart w:id="58" w:name="fig:009"/>
    <w:p>
      <w:pPr>
        <w:pStyle w:val="CaptionedFigure"/>
      </w:pPr>
      <w:r>
        <w:drawing>
          <wp:inline>
            <wp:extent cx="3733800" cy="1166812"/>
            <wp:effectExtent b="0" l="0" r="0" t="0"/>
            <wp:docPr descr="Рис. 9: Установленная сессия с нарушителем" title="" id="56" name="Picture"/>
            <a:graphic>
              <a:graphicData uri="http://schemas.openxmlformats.org/drawingml/2006/picture">
                <pic:pic>
                  <pic:nvPicPr>
                    <pic:cNvPr descr="image/9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1668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9: Установленная сессия с нарушителем</w:t>
      </w:r>
    </w:p>
    <w:bookmarkEnd w:id="58"/>
    <w:p>
      <w:pPr>
        <w:pStyle w:val="BodyText"/>
      </w:pPr>
      <w:r>
        <w:t xml:space="preserve">Событие автозапуска backdoor файла наблюдается в журнале /var/log/syslog (рис. 10).</w:t>
      </w:r>
    </w:p>
    <w:bookmarkStart w:id="62" w:name="fig:010"/>
    <w:p>
      <w:pPr>
        <w:pStyle w:val="CaptionedFigure"/>
      </w:pPr>
      <w:r>
        <w:drawing>
          <wp:inline>
            <wp:extent cx="3733800" cy="1291502"/>
            <wp:effectExtent b="0" l="0" r="0" t="0"/>
            <wp:docPr descr="Рис. 10: Автозапуск backdoor" title="" id="60" name="Picture"/>
            <a:graphic>
              <a:graphicData uri="http://schemas.openxmlformats.org/drawingml/2006/picture">
                <pic:pic>
                  <pic:nvPicPr>
                    <pic:cNvPr descr="image/1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291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10: Автозапуск backdoor</w:t>
      </w:r>
    </w:p>
    <w:bookmarkEnd w:id="62"/>
    <w:p>
      <w:pPr>
        <w:pStyle w:val="BodyText"/>
      </w:pPr>
      <w:r>
        <w:t xml:space="preserve">Последовательность действий для закрытия данной полезной нагрузки:</w:t>
      </w:r>
    </w:p>
    <w:p>
      <w:pPr>
        <w:numPr>
          <w:ilvl w:val="0"/>
          <w:numId w:val="1003"/>
        </w:numPr>
      </w:pPr>
      <w:r>
        <w:t xml:space="preserve">убрать автозапуск исполняемого файла из стопtab пользователя</w:t>
      </w:r>
      <w:r>
        <w:t xml:space="preserve"> </w:t>
      </w:r>
      <w:r>
        <w:t xml:space="preserve">tomcat по пути /var/spool/cron/стопtabs/tomcat (рис. 11);</w:t>
      </w:r>
    </w:p>
    <w:p>
      <w:pPr>
        <w:numPr>
          <w:ilvl w:val="0"/>
          <w:numId w:val="1003"/>
        </w:numPr>
      </w:pPr>
      <w:r>
        <w:t xml:space="preserve">удалить исполняемый файл evil.conf по пути /opt/tomcat/webapps/</w:t>
      </w:r>
      <w:r>
        <w:t xml:space="preserve"> </w:t>
      </w:r>
      <w:r>
        <w:t xml:space="preserve">с помощью команды rm evil.conf;</w:t>
      </w:r>
    </w:p>
    <w:p>
      <w:pPr>
        <w:numPr>
          <w:ilvl w:val="0"/>
          <w:numId w:val="1003"/>
        </w:numPr>
      </w:pPr>
      <w:r>
        <w:t xml:space="preserve">завершить все активные сессии с машиной нарушителя с помощью</w:t>
      </w:r>
      <w:r>
        <w:t xml:space="preserve"> </w:t>
      </w:r>
      <w:r>
        <w:t xml:space="preserve">команды kill</w:t>
      </w:r>
      <w:r>
        <w:t xml:space="preserve"> </w:t>
      </w:r>
      <w:r>
        <w:t xml:space="preserve"> </w:t>
      </w:r>
      <w:r>
        <w:t xml:space="preserve">(рис. 12).</w:t>
      </w:r>
    </w:p>
    <w:bookmarkStart w:id="66" w:name="fig:011"/>
    <w:p>
      <w:pPr>
        <w:pStyle w:val="CaptionedFigure"/>
      </w:pPr>
      <w:r>
        <w:drawing>
          <wp:inline>
            <wp:extent cx="3733800" cy="921086"/>
            <wp:effectExtent b="0" l="0" r="0" t="0"/>
            <wp:docPr descr="Рис. 11: Отключение автозапуска" title="" id="64" name="Picture"/>
            <a:graphic>
              <a:graphicData uri="http://schemas.openxmlformats.org/drawingml/2006/picture">
                <pic:pic>
                  <pic:nvPicPr>
                    <pic:cNvPr descr="image/11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9210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11: Отключение автозапуска</w:t>
      </w:r>
    </w:p>
    <w:bookmarkEnd w:id="66"/>
    <w:bookmarkStart w:id="70" w:name="fig:012"/>
    <w:p>
      <w:pPr>
        <w:pStyle w:val="CaptionedFigure"/>
      </w:pPr>
      <w:r>
        <w:drawing>
          <wp:inline>
            <wp:extent cx="3733800" cy="1885967"/>
            <wp:effectExtent b="0" l="0" r="0" t="0"/>
            <wp:docPr descr="Рис. 12: Удаление исполняемого файла и заверение сессий с машиной нарушителя" title="" id="68" name="Picture"/>
            <a:graphic>
              <a:graphicData uri="http://schemas.openxmlformats.org/drawingml/2006/picture">
                <pic:pic>
                  <pic:nvPicPr>
                    <pic:cNvPr descr="image/12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859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12: Удаление исполняемого файла и заверение сессий с машиной нарушителя</w:t>
      </w:r>
    </w:p>
    <w:bookmarkEnd w:id="70"/>
    <w:p>
      <w:pPr>
        <w:pStyle w:val="BodyText"/>
      </w:pPr>
      <w:r>
        <w:t xml:space="preserve">В результате проведенных действий нейтрализовано последствие,</w:t>
      </w:r>
      <w:r>
        <w:t xml:space="preserve"> </w:t>
      </w:r>
      <w:r>
        <w:t xml:space="preserve">которое обусловлено атакой нарушителя.</w:t>
      </w:r>
    </w:p>
    <w:bookmarkEnd w:id="71"/>
    <w:bookmarkEnd w:id="72"/>
    <w:bookmarkStart w:id="108" w:name="уязвимая-версия-программы-coolreaderpdf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Уязвимая версия программы CoolReaderPDF</w:t>
      </w:r>
    </w:p>
    <w:p>
      <w:pPr>
        <w:pStyle w:val="FirstParagraph"/>
      </w:pPr>
      <w:r>
        <w:t xml:space="preserve">На хосте Manager Workstation 1 установлена уязвимая версия программы</w:t>
      </w:r>
      <w:r>
        <w:t xml:space="preserve"> </w:t>
      </w:r>
      <w:r>
        <w:t xml:space="preserve">CoolReaderPDF. Хост используется для приема писем по публичной и</w:t>
      </w:r>
      <w:r>
        <w:t xml:space="preserve"> </w:t>
      </w:r>
      <w:r>
        <w:t xml:space="preserve">корпоративной электронной почте.</w:t>
      </w:r>
      <w:r>
        <w:t xml:space="preserve"> </w:t>
      </w:r>
      <w:r>
        <w:t xml:space="preserve">Эксплуатируемая уязвимость – CVE-2012-4914.</w:t>
      </w:r>
    </w:p>
    <w:p>
      <w:pPr>
        <w:pStyle w:val="BodyText"/>
      </w:pPr>
      <w:r>
        <w:t xml:space="preserve">Переполнение стека в программе CoolPDFReader позволяет удаленно выполнять код при чтении специально сгенерированного документа. В данном случае сгенерированный документ соединен с некоторым стандартным отчетом. При просмотре последней страницы происходит эксплуатация уязвимости. Уязвимости подвержена программа чтения CoolReaderPDF версии 3.0.2.256, которая позволяет удаленным нарушителям выполнять произвольный код через документ PDF с созданным потоком</w:t>
      </w:r>
      <w:r>
        <w:t xml:space="preserve"> </w:t>
      </w:r>
      <w:r>
        <w:t xml:space="preserve">При просмотре начальной части документа программа работает стандартно. При попытке просмотра седьмой страницы программа не реагирует на команды пользователя («зависает»), нарушитель получает сессию.</w:t>
      </w:r>
    </w:p>
    <w:bookmarkStart w:id="81" w:name="описание-инцидента-1"/>
    <w:p>
      <w:pPr>
        <w:pStyle w:val="Heading3"/>
      </w:pPr>
      <w:r>
        <w:rPr>
          <w:rStyle w:val="SectionNumber"/>
        </w:rPr>
        <w:t xml:space="preserve">2.2.1</w:t>
      </w:r>
      <w:r>
        <w:tab/>
      </w:r>
      <w:r>
        <w:t xml:space="preserve">Описание инцидента</w:t>
      </w:r>
    </w:p>
    <w:p>
      <w:pPr>
        <w:pStyle w:val="FirstParagraph"/>
      </w:pPr>
      <w:r>
        <w:t xml:space="preserve">С помощью AMTIP нашли правило обнаружения вторжений. Для (CVE-2012-4914) не нашли необходимое правило, но для определения времени инцидента было выбрано правило ET TROJAN (рис. 13).</w:t>
      </w:r>
    </w:p>
    <w:bookmarkStart w:id="76" w:name="fig:013"/>
    <w:p>
      <w:pPr>
        <w:pStyle w:val="CaptionedFigure"/>
      </w:pPr>
      <w:r>
        <w:drawing>
          <wp:inline>
            <wp:extent cx="3733800" cy="1956848"/>
            <wp:effectExtent b="0" l="0" r="0" t="0"/>
            <wp:docPr descr="Рис. 13: Событие на VipNet IDS NS" title="" id="74" name="Picture"/>
            <a:graphic>
              <a:graphicData uri="http://schemas.openxmlformats.org/drawingml/2006/picture">
                <pic:pic>
                  <pic:nvPicPr>
                    <pic:cNvPr descr="image/13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568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13: Событие на VipNet IDS NS</w:t>
      </w:r>
    </w:p>
    <w:bookmarkEnd w:id="76"/>
    <w:p>
      <w:pPr>
        <w:pStyle w:val="BodyText"/>
      </w:pPr>
      <w:r>
        <w:t xml:space="preserve">Далее перешли к заполнению инцидента (рис. 14).</w:t>
      </w:r>
    </w:p>
    <w:bookmarkStart w:id="80" w:name="fig:014"/>
    <w:p>
      <w:pPr>
        <w:pStyle w:val="CaptionedFigure"/>
      </w:pPr>
      <w:r>
        <w:drawing>
          <wp:inline>
            <wp:extent cx="3733800" cy="2862731"/>
            <wp:effectExtent b="0" l="0" r="0" t="0"/>
            <wp:docPr descr="Рис. 14: Добавление инцидента CoolReaderPDF" title="" id="78" name="Picture"/>
            <a:graphic>
              <a:graphicData uri="http://schemas.openxmlformats.org/drawingml/2006/picture">
                <pic:pic>
                  <pic:nvPicPr>
                    <pic:cNvPr descr="image/14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627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14: Добавление инцидента CoolReaderPDF</w:t>
      </w:r>
    </w:p>
    <w:bookmarkEnd w:id="80"/>
    <w:bookmarkEnd w:id="81"/>
    <w:bookmarkStart w:id="98" w:name="решение-1"/>
    <w:p>
      <w:pPr>
        <w:pStyle w:val="Heading3"/>
      </w:pPr>
      <w:r>
        <w:rPr>
          <w:rStyle w:val="SectionNumber"/>
        </w:rPr>
        <w:t xml:space="preserve">2.2.2</w:t>
      </w:r>
      <w:r>
        <w:tab/>
      </w:r>
      <w:r>
        <w:t xml:space="preserve">Решение</w:t>
      </w:r>
    </w:p>
    <w:p>
      <w:pPr>
        <w:pStyle w:val="FirstParagraph"/>
      </w:pPr>
      <w:r>
        <w:t xml:space="preserve">Открываем KeePass. Находим Manager Workstation 1 и подключаемся по rdp от админа (рис. 15).</w:t>
      </w:r>
    </w:p>
    <w:bookmarkStart w:id="85" w:name="fig:017"/>
    <w:p>
      <w:pPr>
        <w:pStyle w:val="CaptionedFigure"/>
      </w:pPr>
      <w:r>
        <w:drawing>
          <wp:inline>
            <wp:extent cx="3733800" cy="2994433"/>
            <wp:effectExtent b="0" l="0" r="0" t="0"/>
            <wp:docPr descr="Рис. 15: Подключение к Manager Workstation 1" title="" id="83" name="Picture"/>
            <a:graphic>
              <a:graphicData uri="http://schemas.openxmlformats.org/drawingml/2006/picture">
                <pic:pic>
                  <pic:nvPicPr>
                    <pic:cNvPr descr="image/17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994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15: Подключение к Manager Workstation 1</w:t>
      </w:r>
    </w:p>
    <w:bookmarkEnd w:id="85"/>
    <w:p>
      <w:pPr>
        <w:pStyle w:val="BodyText"/>
      </w:pPr>
      <w:r>
        <w:t xml:space="preserve">Встретили ошибку (рис. 16).</w:t>
      </w:r>
    </w:p>
    <w:bookmarkStart w:id="89" w:name="fig:018"/>
    <w:p>
      <w:pPr>
        <w:pStyle w:val="CaptionedFigure"/>
      </w:pPr>
      <w:r>
        <w:drawing>
          <wp:inline>
            <wp:extent cx="3733800" cy="2311698"/>
            <wp:effectExtent b="0" l="0" r="0" t="0"/>
            <wp:docPr descr="Рис. 16: Ошибка" title="" id="87" name="Picture"/>
            <a:graphic>
              <a:graphicData uri="http://schemas.openxmlformats.org/drawingml/2006/picture">
                <pic:pic>
                  <pic:nvPicPr>
                    <pic:cNvPr descr="image/18.pn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311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16: Ошибка</w:t>
      </w:r>
    </w:p>
    <w:bookmarkEnd w:id="89"/>
    <w:p>
      <w:pPr>
        <w:pStyle w:val="BodyText"/>
      </w:pPr>
      <w:r>
        <w:t xml:space="preserve">Открываем Windows Firewall with Advanced Security и добавляем правило для входящих подключений и исходящих подключений (рис. 17)(рис. 18).</w:t>
      </w:r>
    </w:p>
    <w:bookmarkStart w:id="93" w:name="fig:019"/>
    <w:p>
      <w:pPr>
        <w:pStyle w:val="CaptionedFigure"/>
      </w:pPr>
      <w:r>
        <w:drawing>
          <wp:inline>
            <wp:extent cx="3733800" cy="2820579"/>
            <wp:effectExtent b="0" l="0" r="0" t="0"/>
            <wp:docPr descr="Рис. 17: Добавленное правило" title="" id="91" name="Picture"/>
            <a:graphic>
              <a:graphicData uri="http://schemas.openxmlformats.org/drawingml/2006/picture">
                <pic:pic>
                  <pic:nvPicPr>
                    <pic:cNvPr descr="image/19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205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17: Добавленное правило</w:t>
      </w:r>
    </w:p>
    <w:bookmarkEnd w:id="93"/>
    <w:bookmarkStart w:id="97" w:name="fig:020"/>
    <w:p>
      <w:pPr>
        <w:pStyle w:val="CaptionedFigure"/>
      </w:pPr>
      <w:r>
        <w:drawing>
          <wp:inline>
            <wp:extent cx="3733800" cy="2770052"/>
            <wp:effectExtent b="0" l="0" r="0" t="0"/>
            <wp:docPr descr="Рис. 18: Добавленное правило" title="" id="95" name="Picture"/>
            <a:graphic>
              <a:graphicData uri="http://schemas.openxmlformats.org/drawingml/2006/picture">
                <pic:pic>
                  <pic:nvPicPr>
                    <pic:cNvPr descr="image/20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770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18: Добавленное правило</w:t>
      </w:r>
    </w:p>
    <w:bookmarkEnd w:id="97"/>
    <w:bookmarkEnd w:id="98"/>
    <w:bookmarkStart w:id="107" w:name="последствия-manager-meterpreter"/>
    <w:p>
      <w:pPr>
        <w:pStyle w:val="Heading3"/>
      </w:pPr>
      <w:r>
        <w:rPr>
          <w:rStyle w:val="SectionNumber"/>
        </w:rPr>
        <w:t xml:space="preserve">2.2.3</w:t>
      </w:r>
      <w:r>
        <w:tab/>
      </w:r>
      <w:r>
        <w:t xml:space="preserve">Последствия Manager meterpreter</w:t>
      </w:r>
    </w:p>
    <w:p>
      <w:pPr>
        <w:pStyle w:val="FirstParagraph"/>
      </w:pPr>
      <w:r>
        <w:t xml:space="preserve">Вследствие переполнения стека нарушитель устанавливает reverse_shell</w:t>
      </w:r>
    </w:p>
    <w:p>
      <w:pPr>
        <w:pStyle w:val="BodyText"/>
      </w:pPr>
      <w:r>
        <w:t xml:space="preserve">соединение с хостом Manager 1. Установленную сессию узла</w:t>
      </w:r>
    </w:p>
    <w:p>
      <w:pPr>
        <w:pStyle w:val="BodyText"/>
      </w:pPr>
      <w:r>
        <w:t xml:space="preserve">Manager Workstation 1 с IP-адресом нарушителя (195.239.174.11) и имя</w:t>
      </w:r>
    </w:p>
    <w:p>
      <w:pPr>
        <w:pStyle w:val="BodyText"/>
      </w:pPr>
      <w:r>
        <w:t xml:space="preserve">запущенного процесса можно обнаружить при помощи утилиты netstat с</w:t>
      </w:r>
    </w:p>
    <w:p>
      <w:pPr>
        <w:pStyle w:val="BodyText"/>
      </w:pPr>
      <w:r>
        <w:t xml:space="preserve">ключами –bno (рис. 19).</w:t>
      </w:r>
    </w:p>
    <w:bookmarkStart w:id="102" w:name="fig:021"/>
    <w:p>
      <w:pPr>
        <w:pStyle w:val="CaptionedFigure"/>
      </w:pPr>
      <w:r>
        <w:drawing>
          <wp:inline>
            <wp:extent cx="3733800" cy="1493520"/>
            <wp:effectExtent b="0" l="0" r="0" t="0"/>
            <wp:docPr descr="Рис. 19: Список установленных соединений" title="" id="100" name="Picture"/>
            <a:graphic>
              <a:graphicData uri="http://schemas.openxmlformats.org/drawingml/2006/picture">
                <pic:pic>
                  <pic:nvPicPr>
                    <pic:cNvPr descr="image/21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493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19: Список установленных соединений</w:t>
      </w:r>
    </w:p>
    <w:bookmarkEnd w:id="102"/>
    <w:p>
      <w:pPr>
        <w:pStyle w:val="BodyText"/>
      </w:pPr>
      <w:r>
        <w:t xml:space="preserve">Для устранения полезной нагрузки необходимо завершить соединение с машиной нарушителя с помощью команды taskkill /f /pid</w:t>
      </w:r>
      <w:r>
        <w:t xml:space="preserve"> </w:t>
      </w:r>
      <w:r>
        <w:t xml:space="preserve"> </w:t>
      </w:r>
      <w:r>
        <w:t xml:space="preserve">(рис. 20).</w:t>
      </w:r>
    </w:p>
    <w:bookmarkStart w:id="106" w:name="fig:022"/>
    <w:p>
      <w:pPr>
        <w:pStyle w:val="CaptionedFigure"/>
      </w:pPr>
      <w:r>
        <w:drawing>
          <wp:inline>
            <wp:extent cx="3733800" cy="533400"/>
            <wp:effectExtent b="0" l="0" r="0" t="0"/>
            <wp:docPr descr="Рис. 20: Остановка процесса" title="" id="104" name="Picture"/>
            <a:graphic>
              <a:graphicData uri="http://schemas.openxmlformats.org/drawingml/2006/picture">
                <pic:pic>
                  <pic:nvPicPr>
                    <pic:cNvPr descr="image/22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533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20: Остановка процесса</w:t>
      </w:r>
    </w:p>
    <w:bookmarkEnd w:id="106"/>
    <w:bookmarkEnd w:id="107"/>
    <w:bookmarkEnd w:id="108"/>
    <w:bookmarkStart w:id="140" w:name="уязвимая-версия-igss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Уязвимая версия IGSS</w:t>
      </w:r>
    </w:p>
    <w:p>
      <w:pPr>
        <w:pStyle w:val="FirstParagraph"/>
      </w:pPr>
      <w:r>
        <w:t xml:space="preserve">Эксплуатируемая уязвимость – CVE-2011-1567.</w:t>
      </w:r>
    </w:p>
    <w:p>
      <w:pPr>
        <w:pStyle w:val="BodyText"/>
      </w:pPr>
      <w:r>
        <w:t xml:space="preserve">Переполнение стека в программе с графическим интерфейсом IGSSdataServer.exe при использовании операции ListAll ведет к удаленному выполнению кода и прямому подключению нарушителя к серверу.</w:t>
      </w:r>
    </w:p>
    <w:bookmarkStart w:id="117" w:name="описание-инцидента-2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Описание инцидента</w:t>
      </w:r>
    </w:p>
    <w:p>
      <w:pPr>
        <w:pStyle w:val="FirstParagraph"/>
      </w:pPr>
      <w:r>
        <w:t xml:space="preserve">С помощью AMTIP нашли правило обнаружения вторжений. Для Эксплуатируемая уязвимость – (CVE-2011-1567) нашли необходимое правило (рис. 21).</w:t>
      </w:r>
    </w:p>
    <w:bookmarkStart w:id="112" w:name="fig:015"/>
    <w:p>
      <w:pPr>
        <w:pStyle w:val="CaptionedFigure"/>
      </w:pPr>
      <w:r>
        <w:drawing>
          <wp:inline>
            <wp:extent cx="3733800" cy="1930647"/>
            <wp:effectExtent b="0" l="0" r="0" t="0"/>
            <wp:docPr descr="Рис. 21: Событие на VipNet IDS NS" title="" id="110" name="Picture"/>
            <a:graphic>
              <a:graphicData uri="http://schemas.openxmlformats.org/drawingml/2006/picture">
                <pic:pic>
                  <pic:nvPicPr>
                    <pic:cNvPr descr="image/15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06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21: Событие на VipNet IDS NS</w:t>
      </w:r>
    </w:p>
    <w:bookmarkEnd w:id="112"/>
    <w:p>
      <w:pPr>
        <w:pStyle w:val="BodyText"/>
      </w:pPr>
      <w:r>
        <w:t xml:space="preserve">Далее перешли к заполнению инцидента (рис. 22).</w:t>
      </w:r>
    </w:p>
    <w:bookmarkStart w:id="116" w:name="fig:016"/>
    <w:p>
      <w:pPr>
        <w:pStyle w:val="CaptionedFigure"/>
      </w:pPr>
      <w:r>
        <w:drawing>
          <wp:inline>
            <wp:extent cx="3733800" cy="2886028"/>
            <wp:effectExtent b="0" l="0" r="0" t="0"/>
            <wp:docPr descr="Рис. 22: Добавление инцидента IGSS" title="" id="114" name="Picture"/>
            <a:graphic>
              <a:graphicData uri="http://schemas.openxmlformats.org/drawingml/2006/picture">
                <pic:pic>
                  <pic:nvPicPr>
                    <pic:cNvPr descr="image/16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8860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22: Добавление инцидента IGSS</w:t>
      </w:r>
    </w:p>
    <w:bookmarkEnd w:id="116"/>
    <w:bookmarkEnd w:id="117"/>
    <w:bookmarkStart w:id="130" w:name="решение-2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Решение</w:t>
      </w:r>
    </w:p>
    <w:p>
      <w:pPr>
        <w:pStyle w:val="FirstParagraph"/>
      </w:pPr>
      <w:r>
        <w:t xml:space="preserve">Открываем KeePass. Находим SCADA IGSS и подключаемся по rdp (рис. 23).</w:t>
      </w:r>
    </w:p>
    <w:bookmarkStart w:id="121" w:name="fig:023"/>
    <w:p>
      <w:pPr>
        <w:pStyle w:val="CaptionedFigure"/>
      </w:pPr>
      <w:r>
        <w:drawing>
          <wp:inline>
            <wp:extent cx="3733800" cy="3046189"/>
            <wp:effectExtent b="0" l="0" r="0" t="0"/>
            <wp:docPr descr="Рис. 23: Подключение" title="" id="119" name="Picture"/>
            <a:graphic>
              <a:graphicData uri="http://schemas.openxmlformats.org/drawingml/2006/picture">
                <pic:pic>
                  <pic:nvPicPr>
                    <pic:cNvPr descr="image/23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0461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23: Подключение</w:t>
      </w:r>
    </w:p>
    <w:bookmarkEnd w:id="121"/>
    <w:p>
      <w:pPr>
        <w:pStyle w:val="BodyText"/>
      </w:pPr>
      <w:r>
        <w:t xml:space="preserve">Включить брандмауэр Windows, выделить пункт «Не разрешать исключения» или убрать из исключений IGSS DataServer (рис. 24) (рис. 25).</w:t>
      </w:r>
    </w:p>
    <w:bookmarkStart w:id="125" w:name="fig:024"/>
    <w:p>
      <w:pPr>
        <w:pStyle w:val="CaptionedFigure"/>
      </w:pPr>
      <w:r>
        <w:drawing>
          <wp:inline>
            <wp:extent cx="2851904" cy="3414612"/>
            <wp:effectExtent b="0" l="0" r="0" t="0"/>
            <wp:docPr descr="Рис. 24: Брандмауэр включён" title="" id="123" name="Picture"/>
            <a:graphic>
              <a:graphicData uri="http://schemas.openxmlformats.org/drawingml/2006/picture">
                <pic:pic>
                  <pic:nvPicPr>
                    <pic:cNvPr descr="image/24.png" id="124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04" cy="34146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24: Брандмауэр включён</w:t>
      </w:r>
    </w:p>
    <w:bookmarkEnd w:id="125"/>
    <w:bookmarkStart w:id="129" w:name="fig:025"/>
    <w:p>
      <w:pPr>
        <w:pStyle w:val="CaptionedFigure"/>
      </w:pPr>
      <w:r>
        <w:drawing>
          <wp:inline>
            <wp:extent cx="2839116" cy="3389034"/>
            <wp:effectExtent b="0" l="0" r="0" t="0"/>
            <wp:docPr descr="Рис. 25: Исключения" title="" id="127" name="Picture"/>
            <a:graphic>
              <a:graphicData uri="http://schemas.openxmlformats.org/drawingml/2006/picture">
                <pic:pic>
                  <pic:nvPicPr>
                    <pic:cNvPr descr="image/25.pn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116" cy="33890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25: Исключения</w:t>
      </w:r>
    </w:p>
    <w:bookmarkEnd w:id="129"/>
    <w:bookmarkEnd w:id="130"/>
    <w:bookmarkStart w:id="139" w:name="последствия-igss-meterpreter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Последствия IGSS meterpreter</w:t>
      </w:r>
    </w:p>
    <w:p>
      <w:pPr>
        <w:pStyle w:val="FirstParagraph"/>
      </w:pPr>
      <w:r>
        <w:t xml:space="preserve">Вследствие переполнения стека нарушитель устанавливает reverse_shell соединение с узлом SCADA Server. Установленную сессию с IP-адресом нарушителя (195.239.174.11) и запущенный процесс можно обнаружить при помощи утилиты netstat с ключами –bno (рис. 26).</w:t>
      </w:r>
    </w:p>
    <w:bookmarkStart w:id="134" w:name="fig:026"/>
    <w:p>
      <w:pPr>
        <w:pStyle w:val="CaptionedFigure"/>
      </w:pPr>
      <w:r>
        <w:drawing>
          <wp:inline>
            <wp:extent cx="3733800" cy="1894598"/>
            <wp:effectExtent b="0" l="0" r="0" t="0"/>
            <wp:docPr descr="Рис. 26: Соединение с машиной нарушителя" title="" id="132" name="Picture"/>
            <a:graphic>
              <a:graphicData uri="http://schemas.openxmlformats.org/drawingml/2006/picture">
                <pic:pic>
                  <pic:nvPicPr>
                    <pic:cNvPr descr="image/26.pn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8945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26: Соединение с машиной нарушителя</w:t>
      </w:r>
    </w:p>
    <w:bookmarkEnd w:id="134"/>
    <w:p>
      <w:pPr>
        <w:pStyle w:val="BodyText"/>
      </w:pPr>
      <w:r>
        <w:t xml:space="preserve">Для устранения полезной нагрузки необходимо завершить соединение с машиной нарушителя с помощью команды taskkill /f /pid</w:t>
      </w:r>
      <w:r>
        <w:t xml:space="preserve"> </w:t>
      </w:r>
      <w:r>
        <w:t xml:space="preserve"> </w:t>
      </w:r>
      <w:r>
        <w:t xml:space="preserve">(рис. 27).</w:t>
      </w:r>
    </w:p>
    <w:bookmarkStart w:id="138" w:name="fig:027"/>
    <w:p>
      <w:pPr>
        <w:pStyle w:val="CaptionedFigure"/>
      </w:pPr>
      <w:r>
        <w:drawing>
          <wp:inline>
            <wp:extent cx="3401823" cy="409241"/>
            <wp:effectExtent b="0" l="0" r="0" t="0"/>
            <wp:docPr descr="Рис. 27: Остановка процесса" title="" id="136" name="Picture"/>
            <a:graphic>
              <a:graphicData uri="http://schemas.openxmlformats.org/drawingml/2006/picture">
                <pic:pic>
                  <pic:nvPicPr>
                    <pic:cNvPr descr="image/27.png" id="137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1823" cy="409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27: Остановка процесса</w:t>
      </w:r>
    </w:p>
    <w:bookmarkEnd w:id="138"/>
    <w:p>
      <w:pPr>
        <w:pStyle w:val="BodyText"/>
      </w:pPr>
      <w:r>
        <w:t xml:space="preserve">В результате выполнения команда запущенный процесс завершен, последствие IGSS meterpreter успешно устранено.</w:t>
      </w:r>
    </w:p>
    <w:bookmarkEnd w:id="139"/>
    <w:bookmarkEnd w:id="140"/>
    <w:bookmarkEnd w:id="141"/>
    <w:bookmarkStart w:id="145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Разобрались с сценарием действий нарушителя</w:t>
      </w:r>
      <w:r>
        <w:t xml:space="preserve"> </w:t>
      </w:r>
      <w:r>
        <w:t xml:space="preserve">“Защита данных сегмента АСУ ТП”</w:t>
      </w:r>
      <w:r>
        <w:t xml:space="preserve">. Выявили и устранили уязвимости и их последствия (рис. 28)</w:t>
      </w:r>
    </w:p>
    <w:bookmarkStart w:id="144" w:name="fig:029"/>
    <w:p>
      <w:pPr>
        <w:pStyle w:val="CaptionedFigure"/>
      </w:pPr>
      <w:r>
        <w:drawing>
          <wp:inline>
            <wp:extent cx="3733800" cy="2175520"/>
            <wp:effectExtent b="0" l="0" r="0" t="0"/>
            <wp:docPr descr="Рис. 28: Уязвимости и последствия" title="" id="142" name="Picture"/>
            <a:graphic>
              <a:graphicData uri="http://schemas.openxmlformats.org/drawingml/2006/picture">
                <pic:pic>
                  <pic:nvPicPr>
                    <pic:cNvPr descr="image/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1755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Рис. 28: Уязвимости и последствия</w:t>
      </w:r>
    </w:p>
    <w:bookmarkEnd w:id="144"/>
    <w:bookmarkEnd w:id="145"/>
    <w:bookmarkStart w:id="147" w:name="список-литературы"/>
    <w:p>
      <w:pPr>
        <w:pStyle w:val="Heading1"/>
      </w:pPr>
      <w:r>
        <w:t xml:space="preserve">Список литературы</w:t>
      </w:r>
    </w:p>
    <w:bookmarkStart w:id="146" w:name="refs"/>
    <w:bookmarkEnd w:id="146"/>
    <w:bookmarkEnd w:id="147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59" Target="media/rId59.png" /><Relationship Type="http://schemas.openxmlformats.org/officeDocument/2006/relationships/image" Id="rId63" Target="media/rId63.png" /><Relationship Type="http://schemas.openxmlformats.org/officeDocument/2006/relationships/image" Id="rId67" Target="media/rId67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82" Target="media/rId82.png" /><Relationship Type="http://schemas.openxmlformats.org/officeDocument/2006/relationships/image" Id="rId86" Target="media/rId86.png" /><Relationship Type="http://schemas.openxmlformats.org/officeDocument/2006/relationships/image" Id="rId90" Target="media/rId90.png" /><Relationship Type="http://schemas.openxmlformats.org/officeDocument/2006/relationships/image" Id="rId25" Target="media/rId25.png" /><Relationship Type="http://schemas.openxmlformats.org/officeDocument/2006/relationships/image" Id="rId94" Target="media/rId94.png" /><Relationship Type="http://schemas.openxmlformats.org/officeDocument/2006/relationships/image" Id="rId99" Target="media/rId99.png" /><Relationship Type="http://schemas.openxmlformats.org/officeDocument/2006/relationships/image" Id="rId103" Target="media/rId103.png" /><Relationship Type="http://schemas.openxmlformats.org/officeDocument/2006/relationships/image" Id="rId118" Target="media/rId118.png" /><Relationship Type="http://schemas.openxmlformats.org/officeDocument/2006/relationships/image" Id="rId122" Target="media/rId122.png" /><Relationship Type="http://schemas.openxmlformats.org/officeDocument/2006/relationships/image" Id="rId126" Target="media/rId126.png" /><Relationship Type="http://schemas.openxmlformats.org/officeDocument/2006/relationships/image" Id="rId131" Target="media/rId131.png" /><Relationship Type="http://schemas.openxmlformats.org/officeDocument/2006/relationships/image" Id="rId135" Target="media/rId135.png" /><Relationship Type="http://schemas.openxmlformats.org/officeDocument/2006/relationships/image" Id="rId29" Target="media/rId29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5" Target="media/rId55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1-B (20_09)</dc:title>
  <dc:creator>Ищенко Ирина; Мишина Анастасия; Дикач Анна; Галацан Николай; Амуничников Антон; Барсегян Вардан; Дудырев Глеб; Дымченко Дмитрий</dc:creator>
  <dc:language>ru-RU</dc:language>
  <cp:keywords/>
  <dcterms:created xsi:type="dcterms:W3CDTF">2025-09-25T12:11:40Z</dcterms:created>
  <dcterms:modified xsi:type="dcterms:W3CDTF">2025-09-25T12:11:40Z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BlockInlineMath">
    <vt:lpwstr>False</vt:lpwstr>
  </property>
  <property fmtid="{D5CDD505-2E9C-101B-9397-08002B2CF9AE}" pid="23" name="eqnBlockTemplate">
    <vt:lpwstr>ti</vt:lpwstr>
  </property>
  <property fmtid="{D5CDD505-2E9C-101B-9397-08002B2CF9AE}" pid="24" name="eqnDisplayTemplate">
    <vt:lpwstr>e</vt:lpwstr>
  </property>
  <property fmtid="{D5CDD505-2E9C-101B-9397-08002B2CF9AE}" pid="25" name="eqnIndexTemplate">
    <vt:lpwstr>(i)</vt:lpwstr>
  </property>
  <property fmtid="{D5CDD505-2E9C-101B-9397-08002B2CF9AE}" pid="26" name="eqnInlineTableTemplate">
    <vt:lpwstr>e</vt:lpwstr>
  </property>
  <property fmtid="{D5CDD505-2E9C-101B-9397-08002B2CF9AE}" pid="27" name="eqnInlineTemplate">
    <vt:lpwstr>eequationNumberTeX{i}</vt:lpwstr>
  </property>
  <property fmtid="{D5CDD505-2E9C-101B-9397-08002B2CF9AE}" pid="28" name="eqnPrefix">
    <vt:lpwstr/>
  </property>
  <property fmtid="{D5CDD505-2E9C-101B-9397-08002B2CF9AE}" pid="29" name="eqnPrefixTemplate">
    <vt:lpwstr>p i</vt:lpwstr>
  </property>
  <property fmtid="{D5CDD505-2E9C-101B-9397-08002B2CF9AE}" pid="30" name="equationNumberTeX">
    <vt:lpwstr>\qquad</vt:lpwstr>
  </property>
  <property fmtid="{D5CDD505-2E9C-101B-9397-08002B2CF9AE}" pid="31" name="figLabels">
    <vt:lpwstr>arabic</vt:lpwstr>
  </property>
  <property fmtid="{D5CDD505-2E9C-101B-9397-08002B2CF9AE}" pid="32" name="figPrefix">
    <vt:lpwstr/>
  </property>
  <property fmtid="{D5CDD505-2E9C-101B-9397-08002B2CF9AE}" pid="33" name="figPrefixTemplate">
    <vt:lpwstr>p i</vt:lpwstr>
  </property>
  <property fmtid="{D5CDD505-2E9C-101B-9397-08002B2CF9AE}" pid="34" name="figureTemplate">
    <vt:lpwstr>figureTitle ititleDelim t</vt:lpwstr>
  </property>
  <property fmtid="{D5CDD505-2E9C-101B-9397-08002B2CF9AE}" pid="35" name="figureTitle">
    <vt:lpwstr>Рис.</vt:lpwstr>
  </property>
  <property fmtid="{D5CDD505-2E9C-101B-9397-08002B2CF9AE}" pid="36" name="fontsize">
    <vt:lpwstr>12pt</vt:lpwstr>
  </property>
  <property fmtid="{D5CDD505-2E9C-101B-9397-08002B2CF9AE}" pid="37" name="header-includes">
    <vt:lpwstr/>
  </property>
  <property fmtid="{D5CDD505-2E9C-101B-9397-08002B2CF9AE}" pid="38" name="indent">
    <vt:lpwstr>True</vt:lpwstr>
  </property>
  <property fmtid="{D5CDD505-2E9C-101B-9397-08002B2CF9AE}" pid="39" name="lastDelim">
    <vt:lpwstr>, </vt:lpwstr>
  </property>
  <property fmtid="{D5CDD505-2E9C-101B-9397-08002B2CF9AE}" pid="40" name="linestretch">
    <vt:lpwstr>1.5</vt:lpwstr>
  </property>
  <property fmtid="{D5CDD505-2E9C-101B-9397-08002B2CF9AE}" pid="41" name="linkReferences">
    <vt:lpwstr>False</vt:lpwstr>
  </property>
  <property fmtid="{D5CDD505-2E9C-101B-9397-08002B2CF9AE}" pid="42" name="listItemTitleDelim">
    <vt:lpwstr>.</vt:lpwstr>
  </property>
  <property fmtid="{D5CDD505-2E9C-101B-9397-08002B2CF9AE}" pid="43" name="listingTemplate">
    <vt:lpwstr>listingTitle ititleDelim t</vt:lpwstr>
  </property>
  <property fmtid="{D5CDD505-2E9C-101B-9397-08002B2CF9AE}" pid="44" name="listingTitle">
    <vt:lpwstr>Листинг</vt:lpwstr>
  </property>
  <property fmtid="{D5CDD505-2E9C-101B-9397-08002B2CF9AE}" pid="45" name="listings">
    <vt:lpwstr>False</vt:lpwstr>
  </property>
  <property fmtid="{D5CDD505-2E9C-101B-9397-08002B2CF9AE}" pid="46" name="lof">
    <vt:lpwstr>True</vt:lpwstr>
  </property>
  <property fmtid="{D5CDD505-2E9C-101B-9397-08002B2CF9AE}" pid="47" name="lofItemTemplate">
    <vt:lpwstr>lofItemTitleilistItemTitleDelimt </vt:lpwstr>
  </property>
  <property fmtid="{D5CDD505-2E9C-101B-9397-08002B2CF9AE}" pid="48" name="lofItemTitle">
    <vt:lpwstr/>
  </property>
  <property fmtid="{D5CDD505-2E9C-101B-9397-08002B2CF9AE}" pid="49" name="lofTitle">
    <vt:lpwstr>Список иллюстраций</vt:lpwstr>
  </property>
  <property fmtid="{D5CDD505-2E9C-101B-9397-08002B2CF9AE}" pid="50" name="lolItemTemplate">
    <vt:lpwstr>lolItemTitleilistItemTitleDelimt </vt:lpwstr>
  </property>
  <property fmtid="{D5CDD505-2E9C-101B-9397-08002B2CF9AE}" pid="51" name="lolItemTitle">
    <vt:lpwstr/>
  </property>
  <property fmtid="{D5CDD505-2E9C-101B-9397-08002B2CF9AE}" pid="52" name="lolTitle">
    <vt:lpwstr>Листинги</vt:lpwstr>
  </property>
  <property fmtid="{D5CDD505-2E9C-101B-9397-08002B2CF9AE}" pid="53" name="lot">
    <vt:lpwstr>True</vt:lpwstr>
  </property>
  <property fmtid="{D5CDD505-2E9C-101B-9397-08002B2CF9AE}" pid="54" name="lotItemTemplate">
    <vt:lpwstr>lotItemTitleilistItemTitleDelimt </vt:lpwstr>
  </property>
  <property fmtid="{D5CDD505-2E9C-101B-9397-08002B2CF9AE}" pid="55" name="lotItemTitle">
    <vt:lpwstr/>
  </property>
  <property fmtid="{D5CDD505-2E9C-101B-9397-08002B2CF9AE}" pid="56" name="lotTitle">
    <vt:lpwstr>Список таблиц</vt:lpwstr>
  </property>
  <property fmtid="{D5CDD505-2E9C-101B-9397-08002B2CF9AE}" pid="57" name="lstLabels">
    <vt:lpwstr>arabic</vt:lpwstr>
  </property>
  <property fmtid="{D5CDD505-2E9C-101B-9397-08002B2CF9AE}" pid="58" name="lstPrefix">
    <vt:lpwstr/>
  </property>
  <property fmtid="{D5CDD505-2E9C-101B-9397-08002B2CF9AE}" pid="59" name="lstPrefixTemplate">
    <vt:lpwstr>p i</vt:lpwstr>
  </property>
  <property fmtid="{D5CDD505-2E9C-101B-9397-08002B2CF9AE}" pid="60" name="mainfont">
    <vt:lpwstr>IBM Plex Serif</vt:lpwstr>
  </property>
  <property fmtid="{D5CDD505-2E9C-101B-9397-08002B2CF9AE}" pid="61" name="mainfontoptions">
    <vt:lpwstr>Ligatures=Common,Ligatures=TeX,Scale=0.94</vt:lpwstr>
  </property>
  <property fmtid="{D5CDD505-2E9C-101B-9397-08002B2CF9AE}" pid="62" name="mathfont">
    <vt:lpwstr>STIX Two Math</vt:lpwstr>
  </property>
  <property fmtid="{D5CDD505-2E9C-101B-9397-08002B2CF9AE}" pid="63" name="mathfontoptions">
    <vt:lpwstr/>
  </property>
  <property fmtid="{D5CDD505-2E9C-101B-9397-08002B2CF9AE}" pid="64" name="monofont">
    <vt:lpwstr>IBM Plex Mono</vt:lpwstr>
  </property>
  <property fmtid="{D5CDD505-2E9C-101B-9397-08002B2CF9AE}" pid="65" name="monofontoptions">
    <vt:lpwstr>Scale=MatchLowercase,Scale=0.94,FakeStretch=0.9</vt:lpwstr>
  </property>
  <property fmtid="{D5CDD505-2E9C-101B-9397-08002B2CF9AE}" pid="66" name="nameInLink">
    <vt:lpwstr>False</vt:lpwstr>
  </property>
  <property fmtid="{D5CDD505-2E9C-101B-9397-08002B2CF9AE}" pid="67" name="numberSections">
    <vt:lpwstr>False</vt:lpwstr>
  </property>
  <property fmtid="{D5CDD505-2E9C-101B-9397-08002B2CF9AE}" pid="68" name="pairDelim">
    <vt:lpwstr>, </vt:lpwstr>
  </property>
  <property fmtid="{D5CDD505-2E9C-101B-9397-08002B2CF9AE}" pid="69" name="papersize">
    <vt:lpwstr>a4</vt:lpwstr>
  </property>
  <property fmtid="{D5CDD505-2E9C-101B-9397-08002B2CF9AE}" pid="70" name="polyglossia-lang">
    <vt:lpwstr/>
  </property>
  <property fmtid="{D5CDD505-2E9C-101B-9397-08002B2CF9AE}" pid="71" name="polyglossia-otherlangs">
    <vt:lpwstr/>
  </property>
  <property fmtid="{D5CDD505-2E9C-101B-9397-08002B2CF9AE}" pid="72" name="rangeDelim">
    <vt:lpwstr>-</vt:lpwstr>
  </property>
  <property fmtid="{D5CDD505-2E9C-101B-9397-08002B2CF9AE}" pid="73" name="refDelim">
    <vt:lpwstr>, </vt:lpwstr>
  </property>
  <property fmtid="{D5CDD505-2E9C-101B-9397-08002B2CF9AE}" pid="74" name="refIndexTemplate">
    <vt:lpwstr>isuf</vt:lpwstr>
  </property>
  <property fmtid="{D5CDD505-2E9C-101B-9397-08002B2CF9AE}" pid="75" name="romanfont">
    <vt:lpwstr>IBM Plex Serif</vt:lpwstr>
  </property>
  <property fmtid="{D5CDD505-2E9C-101B-9397-08002B2CF9AE}" pid="76" name="romanfontoptions">
    <vt:lpwstr>Ligatures=Common,Ligatures=TeX,Scale=0.94</vt:lpwstr>
  </property>
  <property fmtid="{D5CDD505-2E9C-101B-9397-08002B2CF9AE}" pid="77" name="sansfont">
    <vt:lpwstr>IBM Plex Sans</vt:lpwstr>
  </property>
  <property fmtid="{D5CDD505-2E9C-101B-9397-08002B2CF9AE}" pid="78" name="sansfontoptions">
    <vt:lpwstr>Ligatures=Common,Ligatures=TeX,Scale=MatchLowercase,Scale=0.94</vt:lpwstr>
  </property>
  <property fmtid="{D5CDD505-2E9C-101B-9397-08002B2CF9AE}" pid="79" name="secHeaderDelim">
    <vt:lpwstr> </vt:lpwstr>
  </property>
  <property fmtid="{D5CDD505-2E9C-101B-9397-08002B2CF9AE}" pid="80" name="secHeaderTemplate">
    <vt:lpwstr>isecHeaderDelim[n]t</vt:lpwstr>
  </property>
  <property fmtid="{D5CDD505-2E9C-101B-9397-08002B2CF9AE}" pid="81" name="secLabels">
    <vt:lpwstr>arabic</vt:lpwstr>
  </property>
  <property fmtid="{D5CDD505-2E9C-101B-9397-08002B2CF9AE}" pid="82" name="secPrefix">
    <vt:lpwstr/>
  </property>
  <property fmtid="{D5CDD505-2E9C-101B-9397-08002B2CF9AE}" pid="83" name="secPrefixTemplate">
    <vt:lpwstr>p i</vt:lpwstr>
  </property>
  <property fmtid="{D5CDD505-2E9C-101B-9397-08002B2CF9AE}" pid="84" name="sectionsDepth">
    <vt:lpwstr>0</vt:lpwstr>
  </property>
  <property fmtid="{D5CDD505-2E9C-101B-9397-08002B2CF9AE}" pid="85" name="subfigGrid">
    <vt:lpwstr>False</vt:lpwstr>
  </property>
  <property fmtid="{D5CDD505-2E9C-101B-9397-08002B2CF9AE}" pid="86" name="subfigLabels">
    <vt:lpwstr>alpha a</vt:lpwstr>
  </property>
  <property fmtid="{D5CDD505-2E9C-101B-9397-08002B2CF9AE}" pid="87" name="subfigureChildTemplate">
    <vt:lpwstr>i</vt:lpwstr>
  </property>
  <property fmtid="{D5CDD505-2E9C-101B-9397-08002B2CF9AE}" pid="88" name="subfigureRefIndexTemplate">
    <vt:lpwstr>isuf (s)</vt:lpwstr>
  </property>
  <property fmtid="{D5CDD505-2E9C-101B-9397-08002B2CF9AE}" pid="89" name="subfigureTemplate">
    <vt:lpwstr>figureTitle ititleDelim t. ccs</vt:lpwstr>
  </property>
  <property fmtid="{D5CDD505-2E9C-101B-9397-08002B2CF9AE}" pid="90" name="subtitle">
    <vt:lpwstr>Кибербезопасность предприятия</vt:lpwstr>
  </property>
  <property fmtid="{D5CDD505-2E9C-101B-9397-08002B2CF9AE}" pid="91" name="tableEqns">
    <vt:lpwstr>False</vt:lpwstr>
  </property>
  <property fmtid="{D5CDD505-2E9C-101B-9397-08002B2CF9AE}" pid="92" name="tableTemplate">
    <vt:lpwstr>tableTitle ititleDelim t</vt:lpwstr>
  </property>
  <property fmtid="{D5CDD505-2E9C-101B-9397-08002B2CF9AE}" pid="93" name="tableTitle">
    <vt:lpwstr>Таблица</vt:lpwstr>
  </property>
  <property fmtid="{D5CDD505-2E9C-101B-9397-08002B2CF9AE}" pid="94" name="tblLabels">
    <vt:lpwstr>arabic</vt:lpwstr>
  </property>
  <property fmtid="{D5CDD505-2E9C-101B-9397-08002B2CF9AE}" pid="95" name="tblPrefix">
    <vt:lpwstr/>
  </property>
  <property fmtid="{D5CDD505-2E9C-101B-9397-08002B2CF9AE}" pid="96" name="tblPrefixTemplate">
    <vt:lpwstr>p i</vt:lpwstr>
  </property>
  <property fmtid="{D5CDD505-2E9C-101B-9397-08002B2CF9AE}" pid="97" name="titleDelim">
    <vt:lpwstr>:</vt:lpwstr>
  </property>
  <property fmtid="{D5CDD505-2E9C-101B-9397-08002B2CF9AE}" pid="98" name="toc">
    <vt:lpwstr>True</vt:lpwstr>
  </property>
  <property fmtid="{D5CDD505-2E9C-101B-9397-08002B2CF9AE}" pid="99" name="toc-depth">
    <vt:lpwstr>2</vt:lpwstr>
  </property>
  <property fmtid="{D5CDD505-2E9C-101B-9397-08002B2CF9AE}" pid="100" name="toc-title">
    <vt:lpwstr>Содержание</vt:lpwstr>
  </property>
</Properties>
</file>